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0" w:line="240" w:lineRule="auto"/>
        <w:ind w:left="5660" w:firstLine="700"/>
        <w:jc w:val="right"/>
        <w:rPr>
          <w:rFonts w:ascii="Times New Roman" w:cs="Times New Roman" w:eastAsia="Times New Roman" w:hAnsi="Times New Roman"/>
          <w:b w:val="1"/>
          <w:i w:val="1"/>
          <w:color w:val="4a86e8"/>
          <w:sz w:val="24"/>
          <w:szCs w:val="24"/>
        </w:rPr>
      </w:pPr>
      <w:r w:rsidDel="00000000" w:rsidR="00000000" w:rsidRPr="00000000">
        <w:rPr>
          <w:rtl w:val="0"/>
        </w:rPr>
      </w:r>
    </w:p>
    <w:p w:rsidR="00000000" w:rsidDel="00000000" w:rsidP="00000000" w:rsidRDefault="00000000" w:rsidRPr="00000000" w14:paraId="00000002">
      <w:pPr>
        <w:keepNext w:val="1"/>
        <w:spacing w:after="0" w:line="240" w:lineRule="auto"/>
        <w:ind w:left="5660" w:firstLine="700"/>
        <w:jc w:val="right"/>
        <w:rPr>
          <w:rFonts w:ascii="Times New Roman" w:cs="Times New Roman" w:eastAsia="Times New Roman" w:hAnsi="Times New Roman"/>
          <w:b w:val="1"/>
          <w:i w:val="1"/>
          <w:color w:val="4a86e8"/>
          <w:sz w:val="24"/>
          <w:szCs w:val="24"/>
          <w:highlight w:val="white"/>
        </w:rPr>
      </w:pPr>
      <w:r w:rsidDel="00000000" w:rsidR="00000000" w:rsidRPr="00000000">
        <w:rPr>
          <w:rFonts w:ascii="Times New Roman" w:cs="Times New Roman" w:eastAsia="Times New Roman" w:hAnsi="Times New Roman"/>
          <w:b w:val="1"/>
          <w:i w:val="1"/>
          <w:color w:val="4a86e8"/>
          <w:sz w:val="24"/>
          <w:szCs w:val="24"/>
          <w:highlight w:val="white"/>
          <w:rtl w:val="0"/>
        </w:rPr>
        <w:t xml:space="preserve">Останні зміни – 13.03.2025</w:t>
      </w:r>
    </w:p>
    <w:p w:rsidR="00000000" w:rsidDel="00000000" w:rsidP="00000000" w:rsidRDefault="00000000" w:rsidRPr="00000000" w14:paraId="00000003">
      <w:pPr>
        <w:keepNext w:val="1"/>
        <w:spacing w:after="0" w:line="240" w:lineRule="auto"/>
        <w:ind w:left="5660" w:firstLine="700"/>
        <w:jc w:val="right"/>
        <w:rPr>
          <w:rFonts w:ascii="Times New Roman" w:cs="Times New Roman" w:eastAsia="Times New Roman" w:hAnsi="Times New Roman"/>
          <w:b w:val="1"/>
          <w:i w:val="1"/>
          <w:color w:val="4a86e8"/>
          <w:sz w:val="24"/>
          <w:szCs w:val="24"/>
        </w:rPr>
      </w:pPr>
      <w:r w:rsidDel="00000000" w:rsidR="00000000" w:rsidRPr="00000000">
        <w:rPr>
          <w:rtl w:val="0"/>
        </w:rPr>
      </w:r>
    </w:p>
    <w:p w:rsidR="00000000" w:rsidDel="00000000" w:rsidP="00000000" w:rsidRDefault="00000000" w:rsidRPr="00000000" w14:paraId="00000004">
      <w:pPr>
        <w:shd w:fill="ffffff" w:val="clear"/>
        <w:spacing w:after="280" w:before="280" w:line="240" w:lineRule="auto"/>
        <w:jc w:val="center"/>
        <w:rPr>
          <w:rFonts w:ascii="Times New Roman" w:cs="Times New Roman" w:eastAsia="Times New Roman" w:hAnsi="Times New Roman"/>
          <w:i w:val="1"/>
          <w:sz w:val="28"/>
          <w:szCs w:val="28"/>
          <w:highlight w:val="yellow"/>
        </w:rPr>
      </w:pPr>
      <w:bookmarkStart w:colFirst="0" w:colLast="0" w:name="_heading=h.gjdgxs" w:id="0"/>
      <w:bookmarkEnd w:id="0"/>
      <w:r w:rsidDel="00000000" w:rsidR="00000000" w:rsidRPr="00000000">
        <w:rPr>
          <w:rFonts w:ascii="Times New Roman" w:cs="Times New Roman" w:eastAsia="Times New Roman" w:hAnsi="Times New Roman"/>
          <w:i w:val="1"/>
          <w:sz w:val="24"/>
          <w:szCs w:val="24"/>
          <w:rtl w:val="0"/>
        </w:rPr>
        <w:t xml:space="preserve">*Зміни до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Кабміну від 12.10.2022 № 1178,</w:t>
      </w:r>
      <w:r w:rsidDel="00000000" w:rsidR="00000000" w:rsidRPr="00000000">
        <w:rPr>
          <w:rFonts w:ascii="Times New Roman" w:cs="Times New Roman" w:eastAsia="Times New Roman" w:hAnsi="Times New Roman"/>
          <w:b w:val="1"/>
          <w:i w:val="1"/>
          <w:sz w:val="24"/>
          <w:szCs w:val="24"/>
          <w:rtl w:val="0"/>
        </w:rPr>
        <w:t xml:space="preserve"> відповідно до постанови КМУ від 11 березня 2025 р. № 277</w:t>
      </w:r>
      <w:r w:rsidDel="00000000" w:rsidR="00000000" w:rsidRPr="00000000">
        <w:rPr>
          <w:rtl w:val="0"/>
        </w:rPr>
      </w:r>
    </w:p>
    <w:p w:rsidR="00000000" w:rsidDel="00000000" w:rsidP="00000000" w:rsidRDefault="00000000" w:rsidRPr="00000000" w14:paraId="00000005">
      <w:pPr>
        <w:keepNext w:val="1"/>
        <w:spacing w:after="0" w:line="276" w:lineRule="auto"/>
        <w:jc w:val="center"/>
        <w:rPr>
          <w:rFonts w:ascii="Times New Roman" w:cs="Times New Roman" w:eastAsia="Times New Roman" w:hAnsi="Times New Roman"/>
          <w:i w:val="1"/>
          <w:color w:val="ff0000"/>
          <w:sz w:val="28"/>
          <w:szCs w:val="28"/>
          <w:highlight w:val="yellow"/>
          <w:u w:val="single"/>
        </w:rPr>
      </w:pPr>
      <w:r w:rsidDel="00000000" w:rsidR="00000000" w:rsidRPr="00000000">
        <w:rPr>
          <w:rFonts w:ascii="Times New Roman" w:cs="Times New Roman" w:eastAsia="Times New Roman" w:hAnsi="Times New Roman"/>
          <w:i w:val="1"/>
          <w:color w:val="ff0000"/>
          <w:sz w:val="28"/>
          <w:szCs w:val="28"/>
          <w:highlight w:val="yellow"/>
          <w:u w:val="single"/>
          <w:rtl w:val="0"/>
        </w:rPr>
        <w:t xml:space="preserve">НАГАДУВАННЯ ЗАМОВНИКАМ: </w:t>
      </w:r>
    </w:p>
    <w:p w:rsidR="00000000" w:rsidDel="00000000" w:rsidP="00000000" w:rsidRDefault="00000000" w:rsidRPr="00000000" w14:paraId="00000006">
      <w:pPr>
        <w:keepNext w:val="1"/>
        <w:spacing w:after="0" w:line="276" w:lineRule="auto"/>
        <w:jc w:val="center"/>
        <w:rPr>
          <w:rFonts w:ascii="Times New Roman" w:cs="Times New Roman" w:eastAsia="Times New Roman" w:hAnsi="Times New Roman"/>
          <w:i w:val="1"/>
          <w:color w:val="ff0000"/>
          <w:sz w:val="28"/>
          <w:szCs w:val="28"/>
          <w:highlight w:val="yellow"/>
          <w:u w:val="single"/>
        </w:rPr>
      </w:pPr>
      <w:r w:rsidDel="00000000" w:rsidR="00000000" w:rsidRPr="00000000">
        <w:rPr>
          <w:rFonts w:ascii="Times New Roman" w:cs="Times New Roman" w:eastAsia="Times New Roman" w:hAnsi="Times New Roman"/>
          <w:i w:val="1"/>
          <w:color w:val="ff0000"/>
          <w:sz w:val="28"/>
          <w:szCs w:val="28"/>
          <w:highlight w:val="yellow"/>
          <w:u w:val="single"/>
          <w:rtl w:val="0"/>
        </w:rPr>
        <w:t xml:space="preserve">ЗВЕРНІТЬ УВАГУ! </w:t>
      </w:r>
    </w:p>
    <w:p w:rsidR="00000000" w:rsidDel="00000000" w:rsidP="00000000" w:rsidRDefault="00000000" w:rsidRPr="00000000" w14:paraId="00000007">
      <w:pPr>
        <w:keepNext w:val="1"/>
        <w:numPr>
          <w:ilvl w:val="0"/>
          <w:numId w:val="1"/>
        </w:numPr>
        <w:spacing w:after="0" w:line="276" w:lineRule="auto"/>
        <w:ind w:left="720" w:hanging="360"/>
        <w:jc w:val="both"/>
        <w:rPr>
          <w:rFonts w:ascii="Times New Roman" w:cs="Times New Roman" w:eastAsia="Times New Roman" w:hAnsi="Times New Roman"/>
          <w:i w:val="1"/>
          <w:sz w:val="24"/>
          <w:szCs w:val="24"/>
          <w:highlight w:val="yellow"/>
        </w:rPr>
      </w:pPr>
      <w:r w:rsidDel="00000000" w:rsidR="00000000" w:rsidRPr="00000000">
        <w:rPr>
          <w:rFonts w:ascii="Times New Roman" w:cs="Times New Roman" w:eastAsia="Times New Roman" w:hAnsi="Times New Roman"/>
          <w:i w:val="1"/>
          <w:color w:val="ff0000"/>
          <w:sz w:val="24"/>
          <w:szCs w:val="24"/>
          <w:highlight w:val="yellow"/>
          <w:rtl w:val="0"/>
        </w:rPr>
        <w:t xml:space="preserve">У разі, якщо у складі  предмета закупівлі є товар, який дорівнює або перевищує 200 тисяч гривень, і він визначений підпунктом 2 пункту 6-1 Прикінцевих та перехідних положень Закону (або у разі здійснення замовником закупівлі робіт чи послуг, якщо виконання таких робіт чи надання послуг передбачає набуття замовником у власність товару, визначеного цим пунктом), користуйтесь зразком тендерної документації за посиланням: </w:t>
      </w:r>
      <w:hyperlink r:id="rId7">
        <w:r w:rsidDel="00000000" w:rsidR="00000000" w:rsidRPr="00000000">
          <w:rPr>
            <w:rFonts w:ascii="Times New Roman" w:cs="Times New Roman" w:eastAsia="Times New Roman" w:hAnsi="Times New Roman"/>
            <w:i w:val="1"/>
            <w:color w:val="1155cc"/>
            <w:sz w:val="24"/>
            <w:szCs w:val="24"/>
            <w:highlight w:val="yellow"/>
            <w:u w:val="single"/>
            <w:rtl w:val="0"/>
          </w:rPr>
          <w:t xml:space="preserve">https://radnuk.com.ua/zrazky-dokumentiv-katehoriya/osoblyvosti-1178-lokalizatsiia-vyrobnytstva/</w:t>
        </w:r>
      </w:hyperlink>
      <w:r w:rsidDel="00000000" w:rsidR="00000000" w:rsidRPr="00000000">
        <w:rPr>
          <w:rtl w:val="0"/>
        </w:rPr>
      </w:r>
    </w:p>
    <w:p w:rsidR="00000000" w:rsidDel="00000000" w:rsidP="00000000" w:rsidRDefault="00000000" w:rsidRPr="00000000" w14:paraId="00000008">
      <w:pPr>
        <w:numPr>
          <w:ilvl w:val="0"/>
          <w:numId w:val="1"/>
        </w:numPr>
        <w:shd w:fill="ffffff" w:val="clear"/>
        <w:spacing w:after="0" w:line="240" w:lineRule="auto"/>
        <w:ind w:left="720" w:hanging="360"/>
        <w:rPr>
          <w:rFonts w:ascii="Times New Roman" w:cs="Times New Roman" w:eastAsia="Times New Roman" w:hAnsi="Times New Roman"/>
          <w:i w:val="1"/>
          <w:sz w:val="24"/>
          <w:szCs w:val="24"/>
          <w:highlight w:val="yellow"/>
        </w:rPr>
      </w:pPr>
      <w:r w:rsidDel="00000000" w:rsidR="00000000" w:rsidRPr="00000000">
        <w:rPr>
          <w:rFonts w:ascii="Times New Roman" w:cs="Times New Roman" w:eastAsia="Times New Roman" w:hAnsi="Times New Roman"/>
          <w:i w:val="1"/>
          <w:color w:val="ff0000"/>
          <w:sz w:val="24"/>
          <w:szCs w:val="24"/>
          <w:highlight w:val="yellow"/>
          <w:rtl w:val="0"/>
        </w:rPr>
        <w:t xml:space="preserve">Замовник самостійно визначає необхідні технічні характеристики предмета закупівлі з огляду на специфіку предмета закупівлі, керуючись принципами здійснення закупівель та з дотриманням законодавства.</w:t>
      </w:r>
    </w:p>
    <w:p w:rsidR="00000000" w:rsidDel="00000000" w:rsidP="00000000" w:rsidRDefault="00000000" w:rsidRPr="00000000" w14:paraId="00000009">
      <w:pPr>
        <w:numPr>
          <w:ilvl w:val="0"/>
          <w:numId w:val="1"/>
        </w:numPr>
        <w:spacing w:after="240" w:before="120" w:line="240" w:lineRule="auto"/>
        <w:ind w:left="720" w:hanging="360"/>
        <w:jc w:val="both"/>
        <w:rPr>
          <w:rFonts w:ascii="Times New Roman" w:cs="Times New Roman" w:eastAsia="Times New Roman" w:hAnsi="Times New Roman"/>
          <w:i w:val="1"/>
          <w:sz w:val="24"/>
          <w:szCs w:val="24"/>
          <w:highlight w:val="yellow"/>
        </w:rPr>
      </w:pPr>
      <w:r w:rsidDel="00000000" w:rsidR="00000000" w:rsidRPr="00000000">
        <w:rPr>
          <w:rFonts w:ascii="Times New Roman" w:cs="Times New Roman" w:eastAsia="Times New Roman" w:hAnsi="Times New Roman"/>
          <w:i w:val="1"/>
          <w:color w:val="ff0000"/>
          <w:sz w:val="24"/>
          <w:szCs w:val="24"/>
          <w:highlight w:val="yellow"/>
          <w:rtl w:val="0"/>
        </w:rPr>
        <w:t xml:space="preserve">У разі здійснення закупівлі </w:t>
      </w:r>
      <w:r w:rsidDel="00000000" w:rsidR="00000000" w:rsidRPr="00000000">
        <w:rPr>
          <w:rFonts w:ascii="Times New Roman" w:cs="Times New Roman" w:eastAsia="Times New Roman" w:hAnsi="Times New Roman"/>
          <w:b w:val="1"/>
          <w:i w:val="1"/>
          <w:color w:val="ff0000"/>
          <w:sz w:val="24"/>
          <w:szCs w:val="24"/>
          <w:highlight w:val="yellow"/>
          <w:rtl w:val="0"/>
        </w:rPr>
        <w:t xml:space="preserve">твердого палива, природного газу, газу скрапленого для комунально-побутового споживання та промислових цілей, електричної енергії</w:t>
      </w:r>
      <w:r w:rsidDel="00000000" w:rsidR="00000000" w:rsidRPr="00000000">
        <w:rPr>
          <w:rFonts w:ascii="Times New Roman" w:cs="Times New Roman" w:eastAsia="Times New Roman" w:hAnsi="Times New Roman"/>
          <w:i w:val="1"/>
          <w:color w:val="ff0000"/>
          <w:sz w:val="24"/>
          <w:szCs w:val="24"/>
          <w:highlight w:val="yellow"/>
          <w:rtl w:val="0"/>
        </w:rPr>
        <w:t xml:space="preserve">, які визначені абзацом першим пункту 29 Особливостей, замовники не можуть установлювати вимоги до предмета закупівлі, що не передбачені відповідним національним стандартом (за наявності національного стандарту для відповідного предмета закупівлі).</w:t>
      </w:r>
    </w:p>
    <w:p w:rsidR="00000000" w:rsidDel="00000000" w:rsidP="00000000" w:rsidRDefault="00000000" w:rsidRPr="00000000" w14:paraId="0000000A">
      <w:pPr>
        <w:keepNext w:val="1"/>
        <w:spacing w:after="0" w:line="240" w:lineRule="auto"/>
        <w:ind w:left="5660" w:firstLine="700"/>
        <w:jc w:val="right"/>
        <w:rPr>
          <w:rFonts w:ascii="Times New Roman" w:cs="Times New Roman" w:eastAsia="Times New Roman" w:hAnsi="Times New Roman"/>
          <w:b w:val="1"/>
          <w:i w:val="1"/>
          <w:color w:val="4a86e8"/>
          <w:sz w:val="24"/>
          <w:szCs w:val="24"/>
          <w:highlight w:val="yellow"/>
        </w:rPr>
      </w:pPr>
      <w:r w:rsidDel="00000000" w:rsidR="00000000" w:rsidRPr="00000000">
        <w:rPr>
          <w:rtl w:val="0"/>
        </w:rPr>
      </w:r>
    </w:p>
    <w:p w:rsidR="00000000" w:rsidDel="00000000" w:rsidP="00000000" w:rsidRDefault="00000000" w:rsidRPr="00000000" w14:paraId="0000000B">
      <w:pPr>
        <w:keepNext w:val="1"/>
        <w:spacing w:after="0" w:line="240" w:lineRule="auto"/>
        <w:ind w:left="5660" w:firstLine="700"/>
        <w:jc w:val="right"/>
        <w:rPr>
          <w:rFonts w:ascii="Times New Roman" w:cs="Times New Roman" w:eastAsia="Times New Roman" w:hAnsi="Times New Roman"/>
          <w:b w:val="1"/>
          <w:i w:val="1"/>
          <w:color w:val="4a86e8"/>
          <w:sz w:val="24"/>
          <w:szCs w:val="24"/>
          <w:highlight w:val="yellow"/>
        </w:rPr>
      </w:pPr>
      <w:r w:rsidDel="00000000" w:rsidR="00000000" w:rsidRPr="00000000">
        <w:rPr>
          <w:rFonts w:ascii="Times New Roman" w:cs="Times New Roman" w:eastAsia="Times New Roman" w:hAnsi="Times New Roman"/>
          <w:b w:val="1"/>
          <w:i w:val="1"/>
          <w:color w:val="4a86e8"/>
          <w:sz w:val="24"/>
          <w:szCs w:val="24"/>
          <w:highlight w:val="yellow"/>
          <w:rtl w:val="0"/>
        </w:rPr>
        <w:t xml:space="preserve">Приклад Додатка 2 до ТД</w:t>
      </w:r>
    </w:p>
    <w:p w:rsidR="00000000" w:rsidDel="00000000" w:rsidP="00000000" w:rsidRDefault="00000000" w:rsidRPr="00000000" w14:paraId="0000000C">
      <w:pPr>
        <w:spacing w:after="0" w:line="240" w:lineRule="auto"/>
        <w:ind w:left="5660" w:firstLine="0"/>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after="0" w:line="240" w:lineRule="auto"/>
        <w:ind w:left="566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ДОДАТОК  2</w:t>
      </w:r>
      <w:r w:rsidDel="00000000" w:rsidR="00000000" w:rsidRPr="00000000">
        <w:rPr>
          <w:rtl w:val="0"/>
        </w:rPr>
      </w:r>
    </w:p>
    <w:p w:rsidR="00000000" w:rsidDel="00000000" w:rsidP="00000000" w:rsidRDefault="00000000" w:rsidRPr="00000000" w14:paraId="0000000E">
      <w:pPr>
        <w:spacing w:after="0" w:line="240" w:lineRule="auto"/>
        <w:ind w:left="566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sz w:val="24"/>
          <w:szCs w:val="24"/>
          <w:rtl w:val="0"/>
        </w:rPr>
        <w:t xml:space="preserve">до тендерної документації</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F">
      <w:pPr>
        <w:spacing w:after="0" w:before="240" w:line="240" w:lineRule="auto"/>
        <w:jc w:val="center"/>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highlight w:val="white"/>
          <w:rtl w:val="0"/>
        </w:rPr>
        <w:t xml:space="preserve">Інформація про необхідні технічні, якісні та кількісні характеристики предмета закупівлі — технічні вимоги до предмета закупівлі</w:t>
      </w:r>
      <w:r w:rsidDel="00000000" w:rsidR="00000000" w:rsidRPr="00000000">
        <w:rPr>
          <w:rtl w:val="0"/>
        </w:rPr>
      </w:r>
    </w:p>
    <w:p w:rsidR="00000000" w:rsidDel="00000000" w:rsidP="00000000" w:rsidRDefault="00000000" w:rsidRPr="00000000" w14:paraId="00000010">
      <w:pPr>
        <w:spacing w:after="0" w:before="240" w:line="240" w:lineRule="auto"/>
        <w:jc w:val="center"/>
        <w:rPr>
          <w:rFonts w:ascii="Times New Roman" w:cs="Times New Roman" w:eastAsia="Times New Roman" w:hAnsi="Times New Roman"/>
          <w:b w:val="1"/>
          <w:i w:val="1"/>
          <w:color w:val="000000"/>
          <w:sz w:val="4"/>
          <w:szCs w:val="4"/>
        </w:rPr>
      </w:pPr>
      <w:r w:rsidDel="00000000" w:rsidR="00000000" w:rsidRPr="00000000">
        <w:rPr>
          <w:rtl w:val="0"/>
        </w:rPr>
      </w:r>
    </w:p>
    <w:p w:rsidR="00000000" w:rsidDel="00000000" w:rsidP="00000000" w:rsidRDefault="00000000" w:rsidRPr="00000000" w14:paraId="00000011">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highlight w:val="white"/>
          <w:rtl w:val="0"/>
        </w:rPr>
        <w:t xml:space="preserve">ТЕХНІЧНА СПЕЦИФІКАЦІЯ</w:t>
      </w:r>
      <w:r w:rsidDel="00000000" w:rsidR="00000000" w:rsidRPr="00000000">
        <w:rPr>
          <w:rtl w:val="0"/>
        </w:rPr>
      </w:r>
    </w:p>
    <w:p w:rsidR="00000000" w:rsidDel="00000000" w:rsidP="00000000" w:rsidRDefault="00000000" w:rsidRPr="00000000" w14:paraId="00000012">
      <w:pPr>
        <w:shd w:fill="ffffff" w:val="clear"/>
        <w:spacing w:after="0" w:line="240" w:lineRule="auto"/>
        <w:ind w:firstLine="720"/>
        <w:jc w:val="both"/>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i w:val="1"/>
          <w:color w:val="ff0000"/>
          <w:sz w:val="24"/>
          <w:szCs w:val="24"/>
          <w:highlight w:val="yellow"/>
          <w:rtl w:val="0"/>
        </w:rPr>
        <w:t xml:space="preserve">Ця норма зазначається, якщо замовник не вимагає жодного документа у відповідних додатках до тендерної документації, а лише зазначає опис характеристик товару / послуги / роботи, які закуповуються:</w:t>
      </w:r>
      <w:r w:rsidDel="00000000" w:rsidR="00000000" w:rsidRPr="00000000">
        <w:rPr>
          <w:rFonts w:ascii="Times New Roman" w:cs="Times New Roman" w:eastAsia="Times New Roman" w:hAnsi="Times New Roman"/>
          <w:b w:val="1"/>
          <w:i w:val="1"/>
          <w:color w:val="ff0000"/>
          <w:sz w:val="24"/>
          <w:szCs w:val="24"/>
          <w:highlight w:val="yellow"/>
          <w:rtl w:val="0"/>
        </w:rPr>
        <w:t xml:space="preserve"> </w:t>
      </w:r>
      <w:r w:rsidDel="00000000" w:rsidR="00000000" w:rsidRPr="00000000">
        <w:rPr>
          <w:rFonts w:ascii="Times New Roman" w:cs="Times New Roman" w:eastAsia="Times New Roman" w:hAnsi="Times New Roman"/>
          <w:b w:val="1"/>
          <w:sz w:val="24"/>
          <w:szCs w:val="24"/>
          <w:highlight w:val="yellow"/>
          <w:rtl w:val="0"/>
        </w:rPr>
        <w:t xml:space="preserve">Фактом подання тендерної пропозиції учасник підтверджує відповідність своєї пропозиції технічним, якісним, кількісним, функціональним характеристикам до предмета закупівлі, у тому числі технічній специфікації (у разі потреби — планам, кресленням, малюнкам чи опису предмета закупівлі) та іншим вимогам до предмета закупівлі, що містяться в  тендерній документації та цьому додатку, а також підтверджує можливість </w:t>
      </w:r>
      <w:r w:rsidDel="00000000" w:rsidR="00000000" w:rsidRPr="00000000">
        <w:rPr>
          <w:rFonts w:ascii="Times New Roman" w:cs="Times New Roman" w:eastAsia="Times New Roman" w:hAnsi="Times New Roman"/>
          <w:b w:val="1"/>
          <w:color w:val="ff0000"/>
          <w:sz w:val="24"/>
          <w:szCs w:val="24"/>
          <w:highlight w:val="yellow"/>
          <w:rtl w:val="0"/>
        </w:rPr>
        <w:t xml:space="preserve">поставки товару / надання послуг / виконання робіт</w:t>
      </w:r>
      <w:r w:rsidDel="00000000" w:rsidR="00000000" w:rsidRPr="00000000">
        <w:rPr>
          <w:rFonts w:ascii="Times New Roman" w:cs="Times New Roman" w:eastAsia="Times New Roman" w:hAnsi="Times New Roman"/>
          <w:b w:val="1"/>
          <w:sz w:val="24"/>
          <w:szCs w:val="24"/>
          <w:highlight w:val="yellow"/>
          <w:rtl w:val="0"/>
        </w:rPr>
        <w:t xml:space="preserve"> </w:t>
      </w:r>
      <w:r w:rsidDel="00000000" w:rsidR="00000000" w:rsidRPr="00000000">
        <w:rPr>
          <w:rFonts w:ascii="Times New Roman" w:cs="Times New Roman" w:eastAsia="Times New Roman" w:hAnsi="Times New Roman"/>
          <w:b w:val="1"/>
          <w:i w:val="1"/>
          <w:color w:val="ff0000"/>
          <w:sz w:val="24"/>
          <w:szCs w:val="24"/>
          <w:highlight w:val="yellow"/>
          <w:rtl w:val="0"/>
        </w:rPr>
        <w:t xml:space="preserve">(вибрати)</w:t>
      </w:r>
      <w:r w:rsidDel="00000000" w:rsidR="00000000" w:rsidRPr="00000000">
        <w:rPr>
          <w:rFonts w:ascii="Times New Roman" w:cs="Times New Roman" w:eastAsia="Times New Roman" w:hAnsi="Times New Roman"/>
          <w:b w:val="1"/>
          <w:color w:val="ff0000"/>
          <w:sz w:val="24"/>
          <w:szCs w:val="24"/>
          <w:highlight w:val="yellow"/>
          <w:rtl w:val="0"/>
        </w:rPr>
        <w:t xml:space="preserve"> </w:t>
      </w:r>
      <w:r w:rsidDel="00000000" w:rsidR="00000000" w:rsidRPr="00000000">
        <w:rPr>
          <w:rFonts w:ascii="Times New Roman" w:cs="Times New Roman" w:eastAsia="Times New Roman" w:hAnsi="Times New Roman"/>
          <w:b w:val="1"/>
          <w:sz w:val="24"/>
          <w:szCs w:val="24"/>
          <w:highlight w:val="yellow"/>
          <w:rtl w:val="0"/>
        </w:rPr>
        <w:t xml:space="preserve">відповідно до вимог, визначених згідно з умовами тендерної документації.</w:t>
      </w:r>
    </w:p>
    <w:p w:rsidR="00000000" w:rsidDel="00000000" w:rsidP="00000000" w:rsidRDefault="00000000" w:rsidRPr="00000000" w14:paraId="00000013">
      <w:pPr>
        <w:shd w:fill="ffffff" w:val="clea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hd w:fill="ffffff" w:val="clear"/>
        <w:spacing w:after="0" w:line="240" w:lineRule="auto"/>
        <w:ind w:firstLine="72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Технічні специфікації не повинні містити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У разі, якщо таке посилання є необхідним, воно </w:t>
      </w:r>
      <w:r w:rsidDel="00000000" w:rsidR="00000000" w:rsidRPr="00000000">
        <w:rPr>
          <w:rFonts w:ascii="Times New Roman" w:cs="Times New Roman" w:eastAsia="Times New Roman" w:hAnsi="Times New Roman"/>
          <w:b w:val="1"/>
          <w:sz w:val="24"/>
          <w:szCs w:val="24"/>
          <w:rtl w:val="0"/>
        </w:rPr>
        <w:t xml:space="preserve">повинно бути обґрунтованим та містити вираз «або еквівалент».</w:t>
      </w:r>
      <w:r w:rsidDel="00000000" w:rsidR="00000000" w:rsidRPr="00000000">
        <w:rPr>
          <w:rtl w:val="0"/>
        </w:rPr>
      </w:r>
    </w:p>
    <w:p w:rsidR="00000000" w:rsidDel="00000000" w:rsidP="00000000" w:rsidRDefault="00000000" w:rsidRPr="00000000" w14:paraId="00000015">
      <w:pPr>
        <w:shd w:fill="ffffff" w:val="clear"/>
        <w:spacing w:after="0" w:line="240" w:lineRule="auto"/>
        <w:ind w:firstLine="460"/>
        <w:jc w:val="both"/>
        <w:rPr>
          <w:rFonts w:ascii="Times New Roman" w:cs="Times New Roman" w:eastAsia="Times New Roman" w:hAnsi="Times New Roman"/>
          <w:color w:val="4a86e8"/>
          <w:sz w:val="24"/>
          <w:szCs w:val="24"/>
          <w:highlight w:val="yellow"/>
        </w:rPr>
      </w:pPr>
      <w:r w:rsidDel="00000000" w:rsidR="00000000" w:rsidRPr="00000000">
        <w:rPr>
          <w:rFonts w:ascii="Times New Roman" w:cs="Times New Roman" w:eastAsia="Times New Roman" w:hAnsi="Times New Roman"/>
          <w:i w:val="1"/>
          <w:color w:val="ff0000"/>
          <w:sz w:val="24"/>
          <w:szCs w:val="24"/>
          <w:highlight w:val="yellow"/>
          <w:rtl w:val="0"/>
        </w:rPr>
        <w:t xml:space="preserve">Приклад умови в Додатку 2 до  тендерної документації  на виконання цієї норми: </w:t>
      </w:r>
      <w:r w:rsidDel="00000000" w:rsidR="00000000" w:rsidRPr="00000000">
        <w:rPr>
          <w:rFonts w:ascii="Times New Roman" w:cs="Times New Roman" w:eastAsia="Times New Roman" w:hAnsi="Times New Roman"/>
          <w:color w:val="4a86e8"/>
          <w:sz w:val="24"/>
          <w:szCs w:val="24"/>
          <w:highlight w:val="yellow"/>
          <w:rtl w:val="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«або еквівалент».</w:t>
      </w:r>
    </w:p>
    <w:p w:rsidR="00000000" w:rsidDel="00000000" w:rsidP="00000000" w:rsidRDefault="00000000" w:rsidRPr="00000000" w14:paraId="00000016">
      <w:pPr>
        <w:shd w:fill="ffffff" w:val="clear"/>
        <w:spacing w:after="0" w:line="240" w:lineRule="auto"/>
        <w:ind w:firstLine="4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hd w:fill="ffffff" w:val="clear"/>
        <w:spacing w:after="0" w:line="240" w:lineRule="auto"/>
        <w:ind w:firstLine="4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Технічна специфікація повинна містити опис усіх необхідних характеристик товарів, робіт або послуг, що закуповуються, у тому числі їх технічні, функціональні та якісні характеристики.</w:t>
      </w:r>
    </w:p>
    <w:p w:rsidR="00000000" w:rsidDel="00000000" w:rsidP="00000000" w:rsidRDefault="00000000" w:rsidRPr="00000000" w14:paraId="00000018">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У разі, якщо вичерпний опис характеристик скласти неможливо, технічні специфікації можуть містити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w:t>
      </w:r>
      <w:r w:rsidDel="00000000" w:rsidR="00000000" w:rsidRPr="00000000">
        <w:rPr>
          <w:rFonts w:ascii="Times New Roman" w:cs="Times New Roman" w:eastAsia="Times New Roman" w:hAnsi="Times New Roman"/>
          <w:b w:val="1"/>
          <w:sz w:val="24"/>
          <w:szCs w:val="24"/>
          <w:rtl w:val="0"/>
        </w:rPr>
        <w:t xml:space="preserve">До кожного посилання повинен додаватися вираз «або еквівалент».</w:t>
      </w:r>
      <w:r w:rsidDel="00000000" w:rsidR="00000000" w:rsidRPr="00000000">
        <w:rPr>
          <w:rtl w:val="0"/>
        </w:rPr>
      </w:r>
    </w:p>
    <w:p w:rsidR="00000000" w:rsidDel="00000000" w:rsidP="00000000" w:rsidRDefault="00000000" w:rsidRPr="00000000" w14:paraId="00000019">
      <w:pPr>
        <w:shd w:fill="ffffff" w:val="clear"/>
        <w:spacing w:after="0" w:line="240" w:lineRule="auto"/>
        <w:ind w:firstLine="460"/>
        <w:jc w:val="both"/>
        <w:rPr>
          <w:rFonts w:ascii="Times New Roman" w:cs="Times New Roman" w:eastAsia="Times New Roman" w:hAnsi="Times New Roman"/>
          <w:b w:val="1"/>
          <w:color w:val="4a86e8"/>
          <w:sz w:val="24"/>
          <w:szCs w:val="24"/>
          <w:highlight w:val="yellow"/>
        </w:rPr>
      </w:pPr>
      <w:r w:rsidDel="00000000" w:rsidR="00000000" w:rsidRPr="00000000">
        <w:rPr>
          <w:rFonts w:ascii="Times New Roman" w:cs="Times New Roman" w:eastAsia="Times New Roman" w:hAnsi="Times New Roman"/>
          <w:i w:val="1"/>
          <w:color w:val="ff0000"/>
          <w:sz w:val="24"/>
          <w:szCs w:val="24"/>
          <w:highlight w:val="yellow"/>
          <w:rtl w:val="0"/>
        </w:rPr>
        <w:t xml:space="preserve">Приклад умови в Додатку 2 до  тендерної документації  на виконання цієї норми: </w:t>
      </w:r>
      <w:r w:rsidDel="00000000" w:rsidR="00000000" w:rsidRPr="00000000">
        <w:rPr>
          <w:rFonts w:ascii="Times New Roman" w:cs="Times New Roman" w:eastAsia="Times New Roman" w:hAnsi="Times New Roman"/>
          <w:color w:val="4a86e8"/>
          <w:sz w:val="24"/>
          <w:szCs w:val="24"/>
          <w:highlight w:val="yellow"/>
          <w:rtl w:val="0"/>
        </w:rPr>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sidDel="00000000" w:rsidR="00000000" w:rsidRPr="00000000">
        <w:rPr>
          <w:rFonts w:ascii="Times New Roman" w:cs="Times New Roman" w:eastAsia="Times New Roman" w:hAnsi="Times New Roman"/>
          <w:b w:val="1"/>
          <w:color w:val="4a86e8"/>
          <w:sz w:val="24"/>
          <w:szCs w:val="24"/>
          <w:highlight w:val="yellow"/>
          <w:rtl w:val="0"/>
        </w:rPr>
        <w:t xml:space="preserve">Таким чином, вважається, що до кожного посилання додається вираз «або еквівалент».</w:t>
      </w:r>
    </w:p>
    <w:p w:rsidR="00000000" w:rsidDel="00000000" w:rsidP="00000000" w:rsidRDefault="00000000" w:rsidRPr="00000000" w14:paraId="0000001A">
      <w:pPr>
        <w:shd w:fill="ffffff" w:val="clear"/>
        <w:spacing w:after="0" w:line="240" w:lineRule="auto"/>
        <w:ind w:firstLine="460"/>
        <w:jc w:val="both"/>
        <w:rPr>
          <w:rFonts w:ascii="Times New Roman" w:cs="Times New Roman" w:eastAsia="Times New Roman" w:hAnsi="Times New Roman"/>
          <w:i w:val="1"/>
          <w:color w:val="ff0000"/>
          <w:sz w:val="24"/>
          <w:szCs w:val="24"/>
          <w:highlight w:val="yellow"/>
        </w:rPr>
      </w:pPr>
      <w:r w:rsidDel="00000000" w:rsidR="00000000" w:rsidRPr="00000000">
        <w:rPr>
          <w:rtl w:val="0"/>
        </w:rPr>
      </w:r>
    </w:p>
    <w:p w:rsidR="00000000" w:rsidDel="00000000" w:rsidP="00000000" w:rsidRDefault="00000000" w:rsidRPr="00000000" w14:paraId="0000001B">
      <w:pPr>
        <w:shd w:fill="ffffff" w:val="clear"/>
        <w:spacing w:after="0" w:line="240" w:lineRule="auto"/>
        <w:ind w:firstLine="460"/>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i w:val="1"/>
          <w:color w:val="ff0000"/>
          <w:sz w:val="24"/>
          <w:szCs w:val="24"/>
          <w:highlight w:val="yellow"/>
          <w:rtl w:val="0"/>
        </w:rPr>
        <w:t xml:space="preserve">Встановлюється замовником  у разі потреби (якщо встановлюється, необхідно додати вимогу в Додаток 1 до ТД):</w:t>
      </w:r>
    </w:p>
    <w:p w:rsidR="00000000" w:rsidDel="00000000" w:rsidP="00000000" w:rsidRDefault="00000000" w:rsidRPr="00000000" w14:paraId="0000001C">
      <w:pPr>
        <w:shd w:fill="ffffff" w:val="clear"/>
        <w:spacing w:after="0" w:line="240" w:lineRule="auto"/>
        <w:ind w:firstLine="460"/>
        <w:jc w:val="both"/>
        <w:rPr>
          <w:rFonts w:ascii="Times New Roman" w:cs="Times New Roman" w:eastAsia="Times New Roman" w:hAnsi="Times New Roman"/>
          <w:color w:val="4a86e8"/>
          <w:sz w:val="24"/>
          <w:szCs w:val="24"/>
          <w:highlight w:val="yellow"/>
        </w:rPr>
      </w:pPr>
      <w:r w:rsidDel="00000000" w:rsidR="00000000" w:rsidRPr="00000000">
        <w:rPr>
          <w:rFonts w:ascii="Times New Roman" w:cs="Times New Roman" w:eastAsia="Times New Roman" w:hAnsi="Times New Roman"/>
          <w:color w:val="4a86e8"/>
          <w:sz w:val="24"/>
          <w:szCs w:val="24"/>
          <w:highlight w:val="yellow"/>
          <w:rtl w:val="0"/>
        </w:rPr>
        <w:t xml:space="preserve">У разі, якщо замовник вимагає маркування, протоколи випробувань та сертифікати повинні бути видані органами з оцінки відповідності, компетентність яких підтверджена шляхом акредитації або іншим способом, визначеним законодавством.</w:t>
      </w:r>
    </w:p>
    <w:p w:rsidR="00000000" w:rsidDel="00000000" w:rsidP="00000000" w:rsidRDefault="00000000" w:rsidRPr="00000000" w14:paraId="0000001D">
      <w:pPr>
        <w:shd w:fill="ffffff" w:val="clear"/>
        <w:spacing w:after="0" w:line="240" w:lineRule="auto"/>
        <w:ind w:firstLine="460"/>
        <w:jc w:val="both"/>
        <w:rPr>
          <w:rFonts w:ascii="Times New Roman" w:cs="Times New Roman" w:eastAsia="Times New Roman" w:hAnsi="Times New Roman"/>
          <w:color w:val="4a86e8"/>
          <w:sz w:val="24"/>
          <w:szCs w:val="24"/>
          <w:highlight w:val="yellow"/>
        </w:rPr>
      </w:pPr>
      <w:r w:rsidDel="00000000" w:rsidR="00000000" w:rsidRPr="00000000">
        <w:rPr>
          <w:rFonts w:ascii="Times New Roman" w:cs="Times New Roman" w:eastAsia="Times New Roman" w:hAnsi="Times New Roman"/>
          <w:color w:val="4a86e8"/>
          <w:sz w:val="24"/>
          <w:szCs w:val="24"/>
          <w:highlight w:val="yellow"/>
          <w:rtl w:val="0"/>
        </w:rPr>
        <w:t xml:space="preserve">У разі, якщо учасник не має відповідних маркувань, протоколів випробувань чи сертифікатів, і не має можливості отримати їх до закінчення кінцевого строку подання тендерних пропозицій із причин, від нього не залежних, він може подати </w:t>
      </w:r>
      <w:r w:rsidDel="00000000" w:rsidR="00000000" w:rsidRPr="00000000">
        <w:rPr>
          <w:rFonts w:ascii="Times New Roman" w:cs="Times New Roman" w:eastAsia="Times New Roman" w:hAnsi="Times New Roman"/>
          <w:b w:val="1"/>
          <w:color w:val="4a86e8"/>
          <w:sz w:val="24"/>
          <w:szCs w:val="24"/>
          <w:highlight w:val="yellow"/>
          <w:rtl w:val="0"/>
        </w:rPr>
        <w:t xml:space="preserve">технічний паспорт на підтвердження відповідності тим же об’єктивним критеріям.</w:t>
      </w:r>
      <w:r w:rsidDel="00000000" w:rsidR="00000000" w:rsidRPr="00000000">
        <w:rPr>
          <w:rFonts w:ascii="Times New Roman" w:cs="Times New Roman" w:eastAsia="Times New Roman" w:hAnsi="Times New Roman"/>
          <w:color w:val="4a86e8"/>
          <w:sz w:val="24"/>
          <w:szCs w:val="24"/>
          <w:highlight w:val="yellow"/>
          <w:rtl w:val="0"/>
        </w:rPr>
        <w:t xml:space="preserve"> (У такому випадку замовник зобов’язаний розглянути технічний паспорт і визначити, чи справді він підтверджує відповідність установленим вимогам, із обґрунтуванням свого рішення.)</w:t>
      </w:r>
    </w:p>
    <w:p w:rsidR="00000000" w:rsidDel="00000000" w:rsidP="00000000" w:rsidRDefault="00000000" w:rsidRPr="00000000" w14:paraId="0000001E">
      <w:pPr>
        <w:shd w:fill="ffffff" w:val="clear"/>
        <w:spacing w:after="0" w:line="240" w:lineRule="auto"/>
        <w:ind w:firstLine="460"/>
        <w:jc w:val="both"/>
        <w:rPr>
          <w:rFonts w:ascii="Times New Roman" w:cs="Times New Roman" w:eastAsia="Times New Roman" w:hAnsi="Times New Roman"/>
          <w:color w:val="4a86e8"/>
          <w:sz w:val="24"/>
          <w:szCs w:val="24"/>
          <w:highlight w:val="yellow"/>
        </w:rPr>
      </w:pPr>
      <w:r w:rsidDel="00000000" w:rsidR="00000000" w:rsidRPr="00000000">
        <w:rPr>
          <w:rFonts w:ascii="Times New Roman" w:cs="Times New Roman" w:eastAsia="Times New Roman" w:hAnsi="Times New Roman"/>
          <w:color w:val="4a86e8"/>
          <w:sz w:val="24"/>
          <w:szCs w:val="24"/>
          <w:highlight w:val="yellow"/>
          <w:rtl w:val="0"/>
        </w:rPr>
        <w:t xml:space="preserve">Якщо замовник посилається в тендерній документації на конкретні маркування, протокол випробувань чи сертифікат, він зобов’язаний прийняти маркування, протоколи випробувань чи сертифікати, що підтверджують відповідність еквівалентним вимогам та видані органами з оцінки відповідності, компетентність яких підтверджена шляхом акредитації або іншим способом, визначеним законодавством.</w:t>
      </w:r>
    </w:p>
    <w:p w:rsidR="00000000" w:rsidDel="00000000" w:rsidP="00000000" w:rsidRDefault="00000000" w:rsidRPr="00000000" w14:paraId="0000001F">
      <w:pPr>
        <w:shd w:fill="ffffff" w:val="clear"/>
        <w:spacing w:after="0" w:line="240" w:lineRule="auto"/>
        <w:ind w:firstLine="720"/>
        <w:jc w:val="both"/>
        <w:rPr>
          <w:rFonts w:ascii="Times New Roman" w:cs="Times New Roman" w:eastAsia="Times New Roman" w:hAnsi="Times New Roman"/>
          <w:sz w:val="4"/>
          <w:szCs w:val="4"/>
          <w:highlight w:val="white"/>
        </w:rPr>
      </w:pPr>
      <w:r w:rsidDel="00000000" w:rsidR="00000000" w:rsidRPr="00000000">
        <w:rPr>
          <w:rtl w:val="0"/>
        </w:rPr>
      </w:r>
    </w:p>
    <w:p w:rsidR="00000000" w:rsidDel="00000000" w:rsidP="00000000" w:rsidRDefault="00000000" w:rsidRPr="00000000" w14:paraId="00000020">
      <w:pPr>
        <w:shd w:fill="ffffff" w:val="clear"/>
        <w:spacing w:after="0" w:line="240" w:lineRule="auto"/>
        <w:ind w:firstLine="720"/>
        <w:jc w:val="both"/>
        <w:rPr>
          <w:rFonts w:ascii="Times New Roman" w:cs="Times New Roman" w:eastAsia="Times New Roman" w:hAnsi="Times New Roman"/>
          <w:color w:val="4a86e8"/>
          <w:sz w:val="24"/>
          <w:szCs w:val="24"/>
          <w:highlight w:val="yellow"/>
        </w:rPr>
      </w:pPr>
      <w:r w:rsidDel="00000000" w:rsidR="00000000" w:rsidRPr="00000000">
        <w:rPr>
          <w:rtl w:val="0"/>
        </w:rPr>
      </w:r>
    </w:p>
    <w:p w:rsidR="00000000" w:rsidDel="00000000" w:rsidP="00000000" w:rsidRDefault="00000000" w:rsidRPr="00000000" w14:paraId="00000021">
      <w:pPr>
        <w:shd w:fill="ffffff" w:val="clear"/>
        <w:spacing w:after="0" w:line="240" w:lineRule="auto"/>
        <w:ind w:firstLine="720"/>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Обґрунтування необхідності закупівлі даного виду </w:t>
      </w:r>
      <w:r w:rsidDel="00000000" w:rsidR="00000000" w:rsidRPr="00000000">
        <w:rPr>
          <w:rFonts w:ascii="Times New Roman" w:cs="Times New Roman" w:eastAsia="Times New Roman" w:hAnsi="Times New Roman"/>
          <w:color w:val="ff0000"/>
          <w:sz w:val="24"/>
          <w:szCs w:val="24"/>
          <w:highlight w:val="white"/>
          <w:rtl w:val="0"/>
        </w:rPr>
        <w:t xml:space="preserve">товару / послуг /  робіт</w:t>
      </w:r>
      <w:r w:rsidDel="00000000" w:rsidR="00000000" w:rsidRPr="00000000">
        <w:rPr>
          <w:rFonts w:ascii="Times New Roman" w:cs="Times New Roman" w:eastAsia="Times New Roman" w:hAnsi="Times New Roman"/>
          <w:color w:val="4a86e8"/>
          <w:sz w:val="24"/>
          <w:szCs w:val="24"/>
          <w:highlight w:val="white"/>
          <w:rtl w:val="0"/>
        </w:rPr>
        <w:t xml:space="preserve"> — </w:t>
      </w:r>
      <w:r w:rsidDel="00000000" w:rsidR="00000000" w:rsidRPr="00000000">
        <w:rPr>
          <w:rFonts w:ascii="Times New Roman" w:cs="Times New Roman" w:eastAsia="Times New Roman" w:hAnsi="Times New Roman"/>
          <w:sz w:val="24"/>
          <w:szCs w:val="24"/>
          <w:highlight w:val="white"/>
          <w:rtl w:val="0"/>
        </w:rPr>
        <w:t xml:space="preserve">замовник здійснює закупівлю даного виду</w:t>
      </w:r>
      <w:r w:rsidDel="00000000" w:rsidR="00000000" w:rsidRPr="00000000">
        <w:rPr>
          <w:rFonts w:ascii="Times New Roman" w:cs="Times New Roman" w:eastAsia="Times New Roman" w:hAnsi="Times New Roman"/>
          <w:color w:val="4a86e8"/>
          <w:sz w:val="24"/>
          <w:szCs w:val="24"/>
          <w:highlight w:val="white"/>
          <w:rtl w:val="0"/>
        </w:rPr>
        <w:t xml:space="preserve"> </w:t>
      </w:r>
      <w:r w:rsidDel="00000000" w:rsidR="00000000" w:rsidRPr="00000000">
        <w:rPr>
          <w:rFonts w:ascii="Times New Roman" w:cs="Times New Roman" w:eastAsia="Times New Roman" w:hAnsi="Times New Roman"/>
          <w:color w:val="ff0000"/>
          <w:sz w:val="24"/>
          <w:szCs w:val="24"/>
          <w:highlight w:val="white"/>
          <w:rtl w:val="0"/>
        </w:rPr>
        <w:t xml:space="preserve">товару / послуг /  робіт</w:t>
      </w:r>
      <w:r w:rsidDel="00000000" w:rsidR="00000000" w:rsidRPr="00000000">
        <w:rPr>
          <w:rFonts w:ascii="Times New Roman" w:cs="Times New Roman" w:eastAsia="Times New Roman" w:hAnsi="Times New Roman"/>
          <w:color w:val="4a86e8"/>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оскільки вони за своїми якісними та технічними характеристиками найбільше відповідають потребам та вимогам замовника.  </w:t>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23">
      <w:pPr>
        <w:numPr>
          <w:ilvl w:val="0"/>
          <w:numId w:val="2"/>
        </w:numPr>
        <w:spacing w:after="200" w:line="276"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Детальний опис предмета закупівлі:</w:t>
      </w:r>
      <w:r w:rsidDel="00000000" w:rsidR="00000000" w:rsidRPr="00000000">
        <w:rPr>
          <w:rtl w:val="0"/>
        </w:rPr>
      </w:r>
    </w:p>
    <w:tbl>
      <w:tblPr>
        <w:tblStyle w:val="Table1"/>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40"/>
        <w:gridCol w:w="4860"/>
        <w:tblGridChange w:id="0">
          <w:tblGrid>
            <w:gridCol w:w="4740"/>
            <w:gridCol w:w="48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Назва предмета закупівлі</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Код ДК 021:2015 </w:t>
            </w:r>
            <w:r w:rsidDel="00000000" w:rsidR="00000000" w:rsidRPr="00000000">
              <w:rPr>
                <w:rFonts w:ascii="Times New Roman" w:cs="Times New Roman" w:eastAsia="Times New Roman" w:hAnsi="Times New Roman"/>
                <w:sz w:val="24"/>
                <w:szCs w:val="24"/>
                <w:rtl w:val="0"/>
              </w:rPr>
              <w:t xml:space="preserve">Єдиного закупівельного словника</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Назва </w:t>
            </w:r>
            <w:r w:rsidDel="00000000" w:rsidR="00000000" w:rsidRPr="00000000">
              <w:rPr>
                <w:rFonts w:ascii="Times New Roman" w:cs="Times New Roman" w:eastAsia="Times New Roman" w:hAnsi="Times New Roman"/>
                <w:color w:val="ff0000"/>
                <w:sz w:val="24"/>
                <w:szCs w:val="24"/>
                <w:highlight w:val="yellow"/>
                <w:rtl w:val="0"/>
              </w:rPr>
              <w:t xml:space="preserve">товару / послуги</w:t>
            </w:r>
            <w:r w:rsidDel="00000000" w:rsidR="00000000" w:rsidRPr="00000000">
              <w:rPr>
                <w:rFonts w:ascii="Times New Roman" w:cs="Times New Roman" w:eastAsia="Times New Roman" w:hAnsi="Times New Roman"/>
                <w:sz w:val="24"/>
                <w:szCs w:val="24"/>
                <w:highlight w:val="white"/>
                <w:rtl w:val="0"/>
              </w:rPr>
              <w:t xml:space="preserve"> номенклатурної позиції предмета закупівлі та код </w:t>
            </w:r>
            <w:r w:rsidDel="00000000" w:rsidR="00000000" w:rsidRPr="00000000">
              <w:rPr>
                <w:rFonts w:ascii="Times New Roman" w:cs="Times New Roman" w:eastAsia="Times New Roman" w:hAnsi="Times New Roman"/>
                <w:color w:val="ff0000"/>
                <w:sz w:val="24"/>
                <w:szCs w:val="24"/>
                <w:highlight w:val="yellow"/>
                <w:rtl w:val="0"/>
              </w:rPr>
              <w:t xml:space="preserve">товару / послуги</w:t>
            </w:r>
            <w:r w:rsidDel="00000000" w:rsidR="00000000" w:rsidRPr="00000000">
              <w:rPr>
                <w:rFonts w:ascii="Times New Roman" w:cs="Times New Roman" w:eastAsia="Times New Roman" w:hAnsi="Times New Roman"/>
                <w:sz w:val="24"/>
                <w:szCs w:val="24"/>
                <w:highlight w:val="white"/>
                <w:rtl w:val="0"/>
              </w:rPr>
              <w:t xml:space="preserve">, визначеного згідно з Єдиним закупівельним словником, що найбільше відповідає назві номенклатурної позиції предмета закупівлі </w:t>
            </w:r>
            <w:r w:rsidDel="00000000" w:rsidR="00000000" w:rsidRPr="00000000">
              <w:rPr>
                <w:rFonts w:ascii="Times New Roman" w:cs="Times New Roman" w:eastAsia="Times New Roman" w:hAnsi="Times New Roman"/>
                <w:i w:val="1"/>
                <w:color w:val="ff0000"/>
                <w:sz w:val="24"/>
                <w:szCs w:val="24"/>
                <w:highlight w:val="yellow"/>
                <w:rtl w:val="0"/>
              </w:rPr>
              <w:t xml:space="preserve">(зазначається у разі закупівлі товару / послуг)</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Кількість поставки товару /</w:t>
            </w:r>
            <w:r w:rsidDel="00000000" w:rsidR="00000000" w:rsidRPr="00000000">
              <w:rPr>
                <w:rFonts w:ascii="Times New Roman" w:cs="Times New Roman" w:eastAsia="Times New Roman" w:hAnsi="Times New Roman"/>
                <w:color w:val="ff0000"/>
                <w:sz w:val="24"/>
                <w:szCs w:val="24"/>
                <w:highlight w:val="yellow"/>
                <w:rtl w:val="0"/>
              </w:rPr>
              <w:t xml:space="preserve"> Обсяг</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color w:val="ff0000"/>
                <w:sz w:val="24"/>
                <w:szCs w:val="24"/>
                <w:highlight w:val="yellow"/>
                <w:rtl w:val="0"/>
              </w:rPr>
              <w:t xml:space="preserve">надання послуг / Обсяг виконання робіт</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Місце поставки товару / </w:t>
            </w:r>
            <w:r w:rsidDel="00000000" w:rsidR="00000000" w:rsidRPr="00000000">
              <w:rPr>
                <w:rFonts w:ascii="Times New Roman" w:cs="Times New Roman" w:eastAsia="Times New Roman" w:hAnsi="Times New Roman"/>
                <w:color w:val="ff0000"/>
                <w:sz w:val="24"/>
                <w:szCs w:val="24"/>
                <w:highlight w:val="yellow"/>
                <w:rtl w:val="0"/>
              </w:rPr>
              <w:t xml:space="preserve">надання послуг / виконання робіт</w:t>
            </w:r>
            <w:r w:rsidDel="00000000" w:rsidR="00000000" w:rsidRPr="00000000">
              <w:rPr>
                <w:rtl w:val="0"/>
              </w:rPr>
            </w:r>
          </w:p>
          <w:p w:rsidR="00000000" w:rsidDel="00000000" w:rsidP="00000000" w:rsidRDefault="00000000" w:rsidRPr="00000000" w14:paraId="0000002D">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Строк поставки товару /</w:t>
            </w:r>
            <w:r w:rsidDel="00000000" w:rsidR="00000000" w:rsidRPr="00000000">
              <w:rPr>
                <w:rFonts w:ascii="Times New Roman" w:cs="Times New Roman" w:eastAsia="Times New Roman" w:hAnsi="Times New Roman"/>
                <w:color w:val="ff0000"/>
                <w:sz w:val="24"/>
                <w:szCs w:val="24"/>
                <w:highlight w:val="yellow"/>
                <w:rtl w:val="0"/>
              </w:rPr>
              <w:t xml:space="preserve"> надання послуг / виконання робіт</w:t>
            </w:r>
            <w:r w:rsidDel="00000000" w:rsidR="00000000" w:rsidRPr="00000000">
              <w:rPr>
                <w:rtl w:val="0"/>
              </w:rPr>
            </w:r>
          </w:p>
          <w:p w:rsidR="00000000" w:rsidDel="00000000" w:rsidP="00000000" w:rsidRDefault="00000000" w:rsidRPr="00000000" w14:paraId="00000030">
            <w:pPr>
              <w:widowControl w:val="0"/>
              <w:spacing w:after="0" w:line="240" w:lineRule="auto"/>
              <w:rPr>
                <w:rFonts w:ascii="Times New Roman" w:cs="Times New Roman" w:eastAsia="Times New Roman" w:hAnsi="Times New Roman"/>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до </w:t>
            </w:r>
            <w:r w:rsidDel="00000000" w:rsidR="00000000" w:rsidRPr="00000000">
              <w:rPr>
                <w:rFonts w:ascii="Times New Roman" w:cs="Times New Roman" w:eastAsia="Times New Roman" w:hAnsi="Times New Roman"/>
                <w:i w:val="1"/>
                <w:sz w:val="24"/>
                <w:szCs w:val="24"/>
                <w:highlight w:val="yellow"/>
                <w:rtl w:val="0"/>
              </w:rPr>
              <w:t xml:space="preserve">__________</w:t>
            </w:r>
            <w:r w:rsidDel="00000000" w:rsidR="00000000" w:rsidRPr="00000000">
              <w:rPr>
                <w:rFonts w:ascii="Times New Roman" w:cs="Times New Roman" w:eastAsia="Times New Roman" w:hAnsi="Times New Roman"/>
                <w:i w:val="1"/>
                <w:sz w:val="24"/>
                <w:szCs w:val="24"/>
                <w:highlight w:val="white"/>
                <w:rtl w:val="0"/>
              </w:rPr>
              <w:t xml:space="preserve"> 20</w:t>
            </w:r>
            <w:r w:rsidDel="00000000" w:rsidR="00000000" w:rsidRPr="00000000">
              <w:rPr>
                <w:rFonts w:ascii="Times New Roman" w:cs="Times New Roman" w:eastAsia="Times New Roman" w:hAnsi="Times New Roman"/>
                <w:i w:val="1"/>
                <w:sz w:val="24"/>
                <w:szCs w:val="24"/>
                <w:highlight w:val="yellow"/>
                <w:rtl w:val="0"/>
              </w:rPr>
              <w:t xml:space="preserve">___</w:t>
            </w:r>
            <w:r w:rsidDel="00000000" w:rsidR="00000000" w:rsidRPr="00000000">
              <w:rPr>
                <w:rFonts w:ascii="Times New Roman" w:cs="Times New Roman" w:eastAsia="Times New Roman" w:hAnsi="Times New Roman"/>
                <w:i w:val="1"/>
                <w:sz w:val="24"/>
                <w:szCs w:val="24"/>
                <w:highlight w:val="white"/>
                <w:rtl w:val="0"/>
              </w:rPr>
              <w:t xml:space="preserve"> року включно</w:t>
            </w:r>
          </w:p>
        </w:tc>
      </w:tr>
    </w:tbl>
    <w:p w:rsidR="00000000" w:rsidDel="00000000" w:rsidP="00000000" w:rsidRDefault="00000000" w:rsidRPr="00000000" w14:paraId="00000032">
      <w:pPr>
        <w:widowControl w:val="0"/>
        <w:spacing w:after="0" w:line="24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3">
      <w:pPr>
        <w:widowControl w:val="0"/>
        <w:spacing w:after="0" w:line="240" w:lineRule="auto"/>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b w:val="1"/>
          <w:color w:val="ff0000"/>
          <w:sz w:val="24"/>
          <w:szCs w:val="24"/>
          <w:highlight w:val="yellow"/>
          <w:rtl w:val="0"/>
        </w:rPr>
        <w:t xml:space="preserve">2.Технічні, якісні та кількісні характеристики предмета закупівлі: </w:t>
      </w:r>
      <w:r w:rsidDel="00000000" w:rsidR="00000000" w:rsidRPr="00000000">
        <w:rPr>
          <w:rFonts w:ascii="Times New Roman" w:cs="Times New Roman" w:eastAsia="Times New Roman" w:hAnsi="Times New Roman"/>
          <w:i w:val="1"/>
          <w:color w:val="ff0000"/>
          <w:sz w:val="24"/>
          <w:szCs w:val="24"/>
          <w:highlight w:val="yellow"/>
          <w:rtl w:val="0"/>
        </w:rPr>
        <w:t xml:space="preserve">(встановлюються замовником)</w:t>
      </w:r>
    </w:p>
    <w:p w:rsidR="00000000" w:rsidDel="00000000" w:rsidP="00000000" w:rsidRDefault="00000000" w:rsidRPr="00000000" w14:paraId="00000034">
      <w:pPr>
        <w:widowControl w:val="0"/>
        <w:spacing w:after="0" w:line="240" w:lineRule="auto"/>
        <w:ind w:left="720" w:firstLine="0"/>
        <w:jc w:val="both"/>
        <w:rPr>
          <w:rFonts w:ascii="Times New Roman" w:cs="Times New Roman" w:eastAsia="Times New Roman" w:hAnsi="Times New Roman"/>
          <w:i w:val="1"/>
          <w:color w:val="ff0000"/>
          <w:sz w:val="24"/>
          <w:szCs w:val="24"/>
          <w:highlight w:val="yellow"/>
        </w:rPr>
      </w:pPr>
      <w:r w:rsidDel="00000000" w:rsidR="00000000" w:rsidRPr="00000000">
        <w:rPr>
          <w:rtl w:val="0"/>
        </w:rPr>
      </w:r>
    </w:p>
    <w:p w:rsidR="00000000" w:rsidDel="00000000" w:rsidP="00000000" w:rsidRDefault="00000000" w:rsidRPr="00000000" w14:paraId="00000035">
      <w:pPr>
        <w:widowControl w:val="0"/>
        <w:spacing w:after="0" w:line="240" w:lineRule="auto"/>
        <w:jc w:val="both"/>
        <w:rPr>
          <w:rFonts w:ascii="Times New Roman" w:cs="Times New Roman" w:eastAsia="Times New Roman" w:hAnsi="Times New Roman"/>
          <w:i w:val="1"/>
          <w:color w:val="ff0000"/>
          <w:sz w:val="24"/>
          <w:szCs w:val="24"/>
          <w:highlight w:val="yellow"/>
        </w:rPr>
      </w:pPr>
      <w:r w:rsidDel="00000000" w:rsidR="00000000" w:rsidRPr="00000000">
        <w:rPr>
          <w:rFonts w:ascii="Times New Roman" w:cs="Times New Roman" w:eastAsia="Times New Roman" w:hAnsi="Times New Roman"/>
          <w:b w:val="1"/>
          <w:color w:val="ff0000"/>
          <w:sz w:val="24"/>
          <w:szCs w:val="24"/>
          <w:highlight w:val="yellow"/>
          <w:rtl w:val="0"/>
        </w:rPr>
        <w:t xml:space="preserve">3. Вимоги щодо якості предмет закупівлі: </w:t>
      </w:r>
      <w:r w:rsidDel="00000000" w:rsidR="00000000" w:rsidRPr="00000000">
        <w:rPr>
          <w:rFonts w:ascii="Times New Roman" w:cs="Times New Roman" w:eastAsia="Times New Roman" w:hAnsi="Times New Roman"/>
          <w:i w:val="1"/>
          <w:color w:val="ff0000"/>
          <w:sz w:val="24"/>
          <w:szCs w:val="24"/>
          <w:highlight w:val="yellow"/>
          <w:rtl w:val="0"/>
        </w:rPr>
        <w:t xml:space="preserve">(встановлюються замовником)</w:t>
      </w:r>
    </w:p>
    <w:p w:rsidR="00000000" w:rsidDel="00000000" w:rsidP="00000000" w:rsidRDefault="00000000" w:rsidRPr="00000000" w14:paraId="00000036">
      <w:pPr>
        <w:widowControl w:val="0"/>
        <w:spacing w:after="0" w:line="240" w:lineRule="auto"/>
        <w:jc w:val="both"/>
        <w:rPr>
          <w:rFonts w:ascii="Times New Roman" w:cs="Times New Roman" w:eastAsia="Times New Roman" w:hAnsi="Times New Roman"/>
          <w:i w:val="1"/>
          <w:color w:val="ff0000"/>
          <w:sz w:val="24"/>
          <w:szCs w:val="24"/>
          <w:highlight w:val="yellow"/>
        </w:rPr>
      </w:pPr>
      <w:r w:rsidDel="00000000" w:rsidR="00000000" w:rsidRPr="00000000">
        <w:rPr>
          <w:rtl w:val="0"/>
        </w:rPr>
      </w:r>
    </w:p>
    <w:p w:rsidR="00000000" w:rsidDel="00000000" w:rsidP="00000000" w:rsidRDefault="00000000" w:rsidRPr="00000000" w14:paraId="00000037">
      <w:pPr>
        <w:widowControl w:val="0"/>
        <w:spacing w:after="0" w:line="240" w:lineRule="auto"/>
        <w:jc w:val="both"/>
        <w:rPr>
          <w:rFonts w:ascii="Times New Roman" w:cs="Times New Roman" w:eastAsia="Times New Roman" w:hAnsi="Times New Roman"/>
          <w:i w:val="1"/>
          <w:color w:val="ff0000"/>
          <w:sz w:val="24"/>
          <w:szCs w:val="24"/>
          <w:highlight w:val="yellow"/>
        </w:rPr>
      </w:pPr>
      <w:r w:rsidDel="00000000" w:rsidR="00000000" w:rsidRPr="00000000">
        <w:rPr>
          <w:rtl w:val="0"/>
        </w:rPr>
      </w:r>
    </w:p>
    <w:p w:rsidR="00000000" w:rsidDel="00000000" w:rsidP="00000000" w:rsidRDefault="00000000" w:rsidRPr="00000000" w14:paraId="00000038">
      <w:pPr>
        <w:shd w:fill="ffffff" w:val="clear"/>
        <w:spacing w:after="0" w:line="240" w:lineRule="auto"/>
        <w:ind w:left="0" w:firstLine="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9">
      <w:pPr>
        <w:shd w:fill="ffffff" w:val="clear"/>
        <w:spacing w:after="0" w:line="240" w:lineRule="auto"/>
        <w:ind w:firstLine="460"/>
        <w:jc w:val="both"/>
        <w:rPr>
          <w:rFonts w:ascii="Times New Roman" w:cs="Times New Roman" w:eastAsia="Times New Roman" w:hAnsi="Times New Roman"/>
          <w:b w:val="1"/>
          <w:i w:val="1"/>
          <w:color w:val="ff0000"/>
          <w:sz w:val="24"/>
          <w:szCs w:val="24"/>
          <w:highlight w:val="yellow"/>
        </w:rPr>
      </w:pP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b w:val="1"/>
          <w:i w:val="1"/>
          <w:color w:val="ff0000"/>
          <w:sz w:val="24"/>
          <w:szCs w:val="24"/>
          <w:highlight w:val="yellow"/>
          <w:rtl w:val="0"/>
        </w:rPr>
        <w:t xml:space="preserve">Приклади обґрунтування:</w:t>
      </w:r>
    </w:p>
    <w:tbl>
      <w:tblPr>
        <w:tblStyle w:val="Table2"/>
        <w:tblW w:w="963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39"/>
        <w:tblGridChange w:id="0">
          <w:tblGrid>
            <w:gridCol w:w="963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f" w:val="clear"/>
              <w:spacing w:after="0" w:line="240" w:lineRule="auto"/>
              <w:ind w:left="0" w:firstLine="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Приклад обґрунтування 1</w:t>
            </w:r>
          </w:p>
          <w:p w:rsidR="00000000" w:rsidDel="00000000" w:rsidP="00000000" w:rsidRDefault="00000000" w:rsidRPr="00000000" w14:paraId="0000003B">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Необхідність закупівлі безпосередньо автомобіля марки (ХХХ) пов’язана  з особливостями виробничого процесу та функціями, покладеними на підприємство. Крім того, попередньо було проведено закупівлю на технічне обслуговування автомобілів саме такої марки. Отже, для дотримання принципів Закону, а саме максимальної економії та ефективності, замовником було прийнято рішення  провести закупівлю саме автомобіля марки (ХХХ).</w:t>
            </w:r>
          </w:p>
          <w:p w:rsidR="00000000" w:rsidDel="00000000" w:rsidP="00000000" w:rsidRDefault="00000000" w:rsidRPr="00000000" w14:paraId="0000003C">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3D">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Приклад обґрунтування 2</w:t>
            </w:r>
          </w:p>
          <w:p w:rsidR="00000000" w:rsidDel="00000000" w:rsidP="00000000" w:rsidRDefault="00000000" w:rsidRPr="00000000" w14:paraId="0000003E">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Закупівля автотранспортного засобу з певними технічними і якісними характеристиками обґрунтована наявними потребами Замовника з урахуванням віддаленості району, враховуючи географічну специфіку населеного пункту, стан дорожнього покриття, помірні експлуатаційні витрати, що досить важливо при наявному фінансуванні, а також надійність, технологічність, високий рівень безпеки та з урахуванням виділених коштів. Тому для дотримання принципів Закону, а саме максимальної економії та ефективності, замовником було прийнято рішення провести закупівлю автотранспортного засобу з певними технічними і якісними характеристиками.</w:t>
            </w:r>
          </w:p>
          <w:p w:rsidR="00000000" w:rsidDel="00000000" w:rsidP="00000000" w:rsidRDefault="00000000" w:rsidRPr="00000000" w14:paraId="0000003F">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0">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Приклад обґрунтування 3</w:t>
            </w:r>
          </w:p>
          <w:p w:rsidR="00000000" w:rsidDel="00000000" w:rsidP="00000000" w:rsidRDefault="00000000" w:rsidRPr="00000000" w14:paraId="00000041">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Предмет закупівлі буде використовуватися як доповнення до вже існуючого  обладнання, а тому дуже важливо, для сумісності з уже існуючим обладнанням, чітко дотримуватись зазначених технічних вимог. Для дотримання принципів Закону, а саме максимальної економії та ефективності, замовником було прийнято рішення провести закупівлю саме цього обладнання.</w:t>
            </w:r>
          </w:p>
          <w:p w:rsidR="00000000" w:rsidDel="00000000" w:rsidP="00000000" w:rsidRDefault="00000000" w:rsidRPr="00000000" w14:paraId="00000042">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3">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Приклад обґрунтування 4</w:t>
            </w:r>
          </w:p>
          <w:p w:rsidR="00000000" w:rsidDel="00000000" w:rsidP="00000000" w:rsidRDefault="00000000" w:rsidRPr="00000000" w14:paraId="00000044">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Посилання на конкретного виробника (назва виробника) є необхідним, оскільки за основними характеристиками товар цієї компанії є таким, що оптимально відповідає потребам замовника:</w:t>
            </w:r>
          </w:p>
          <w:p w:rsidR="00000000" w:rsidDel="00000000" w:rsidP="00000000" w:rsidRDefault="00000000" w:rsidRPr="00000000" w14:paraId="00000045">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за своїми унікальними технічними характеристиками;</w:t>
            </w:r>
          </w:p>
          <w:p w:rsidR="00000000" w:rsidDel="00000000" w:rsidP="00000000" w:rsidRDefault="00000000" w:rsidRPr="00000000" w14:paraId="00000046">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за відсутності на ринку відповідних аналогів;</w:t>
            </w:r>
          </w:p>
          <w:p w:rsidR="00000000" w:rsidDel="00000000" w:rsidP="00000000" w:rsidRDefault="00000000" w:rsidRPr="00000000" w14:paraId="00000047">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i w:val="1"/>
                <w:sz w:val="24"/>
                <w:szCs w:val="24"/>
                <w:rtl w:val="0"/>
              </w:rPr>
              <w:t xml:space="preserve">— …………………інші підстави…………</w:t>
            </w:r>
            <w:r w:rsidDel="00000000" w:rsidR="00000000" w:rsidRPr="00000000">
              <w:rPr>
                <w:rtl w:val="0"/>
              </w:rPr>
            </w:r>
          </w:p>
          <w:p w:rsidR="00000000" w:rsidDel="00000000" w:rsidP="00000000" w:rsidRDefault="00000000" w:rsidRPr="00000000" w14:paraId="00000048">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9">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Приклад обґрунтування 5</w:t>
            </w:r>
          </w:p>
          <w:p w:rsidR="00000000" w:rsidDel="00000000" w:rsidP="00000000" w:rsidRDefault="00000000" w:rsidRPr="00000000" w14:paraId="0000004A">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Обґрунтування необхідності посилання на конкретну торгову марку (виробника тощо) — замовник здійснює закупівлю товару із встановленням посилань на торгову назву конкретного виробника, оскільки таке посилання є необхідними для здійснення закупівлі товару, який за своїми якісними та медико-технічними характеристиками найбільше відповідатиме вимогам та потребам замовника. Тому для дотримання принципів Закону, а саме максимальної економії, ефективності та пропорційності, замовником було прийнято рішення провести закупівлю саме цього товару.</w:t>
            </w:r>
          </w:p>
          <w:p w:rsidR="00000000" w:rsidDel="00000000" w:rsidP="00000000" w:rsidRDefault="00000000" w:rsidRPr="00000000" w14:paraId="0000004B">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C">
            <w:pPr>
              <w:shd w:fill="ffffff" w:val="clear"/>
              <w:spacing w:after="0" w:line="240" w:lineRule="auto"/>
              <w:ind w:firstLine="46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Приклад обґрунтування 6</w:t>
            </w:r>
          </w:p>
          <w:p w:rsidR="00000000" w:rsidDel="00000000" w:rsidP="00000000" w:rsidRDefault="00000000" w:rsidRPr="00000000" w14:paraId="0000004D">
            <w:pPr>
              <w:shd w:fill="ffffff" w:val="clear"/>
              <w:spacing w:after="0" w:line="240" w:lineRule="auto"/>
              <w:ind w:firstLine="4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Обґрунтування необхідності закупівлі цього виду товару – замовник здійснює закупівлю цього виду товару, оскільки він за своїми якісними та технічними характеристиками найбільше відповідатиме вимогам та потребам замовника.</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r>
    </w:tbl>
    <w:p w:rsidR="00000000" w:rsidDel="00000000" w:rsidP="00000000" w:rsidRDefault="00000000" w:rsidRPr="00000000" w14:paraId="0000004F">
      <w:pPr>
        <w:shd w:fill="ffffff" w:val="clear"/>
        <w:spacing w:after="0" w:line="240" w:lineRule="auto"/>
        <w:ind w:left="0" w:firstLine="0"/>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0">
      <w:pPr>
        <w:spacing w:after="0" w:line="240" w:lineRule="auto"/>
        <w:jc w:val="both"/>
        <w:rPr>
          <w:rFonts w:ascii="Times New Roman" w:cs="Times New Roman" w:eastAsia="Times New Roman" w:hAnsi="Times New Roman"/>
          <w:sz w:val="24"/>
          <w:szCs w:val="24"/>
        </w:rPr>
      </w:pPr>
      <w:r w:rsidDel="00000000" w:rsidR="00000000" w:rsidRPr="00000000">
        <w:rPr>
          <w:rtl w:val="0"/>
        </w:rPr>
      </w:r>
    </w:p>
    <w:sectPr>
      <w:pgSz w:h="16838" w:w="11906" w:orient="portrait"/>
      <w:pgMar w:bottom="850" w:top="426"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ff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0" w:firstLine="0"/>
      </w:pPr>
      <w:rPr>
        <w:rFonts w:ascii="Arial" w:cs="Arial" w:eastAsia="Arial" w:hAnsi="Arial"/>
        <w:b w:val="1"/>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EA181D"/>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5" w:customStyle="1">
    <w:basedOn w:val="TableNormal"/>
    <w:tblPr>
      <w:tblStyleRowBandSize w:val="1"/>
      <w:tblStyleColBandSize w:val="1"/>
      <w:tblCellMar>
        <w:top w:w="100.0" w:type="dxa"/>
        <w:left w:w="100.0" w:type="dxa"/>
        <w:bottom w:w="100.0" w:type="dxa"/>
        <w:right w:w="100.0" w:type="dxa"/>
      </w:tblCellMar>
    </w:tblPr>
  </w:style>
  <w:style w:type="character" w:styleId="a6">
    <w:name w:val="Hyperlink"/>
    <w:basedOn w:val="a0"/>
    <w:uiPriority w:val="99"/>
    <w:semiHidden w:val="1"/>
    <w:unhideWhenUsed w:val="1"/>
    <w:rsid w:val="0077185F"/>
    <w:rPr>
      <w:color w:val="0000ff"/>
      <w:u w:val="single"/>
    </w:rPr>
  </w:style>
  <w:style w:type="paragraph" w:styleId="rvps2" w:customStyle="1">
    <w:name w:val="rvps2"/>
    <w:basedOn w:val="a"/>
    <w:rsid w:val="00D506D0"/>
    <w:pPr>
      <w:spacing w:after="100" w:afterAutospacing="1" w:before="100" w:beforeAutospacing="1" w:line="240" w:lineRule="auto"/>
    </w:pPr>
    <w:rPr>
      <w:rFonts w:ascii="Times New Roman" w:cs="Times New Roman" w:eastAsia="Times New Roman" w:hAnsi="Times New Roman"/>
      <w:sz w:val="24"/>
      <w:szCs w:val="24"/>
      <w:lang w:val="ru-RU"/>
    </w:rPr>
  </w:style>
  <w:style w:type="table" w:styleId="a7">
    <w:name w:val="Table Grid"/>
    <w:basedOn w:val="a1"/>
    <w:uiPriority w:val="39"/>
    <w:rsid w:val="009E653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8">
    <w:name w:val="annotation reference"/>
    <w:basedOn w:val="a0"/>
    <w:uiPriority w:val="99"/>
    <w:semiHidden w:val="1"/>
    <w:unhideWhenUsed w:val="1"/>
    <w:rsid w:val="00172DAB"/>
    <w:rPr>
      <w:sz w:val="16"/>
      <w:szCs w:val="16"/>
    </w:rPr>
  </w:style>
  <w:style w:type="paragraph" w:styleId="a9">
    <w:name w:val="annotation text"/>
    <w:basedOn w:val="a"/>
    <w:link w:val="aa"/>
    <w:uiPriority w:val="99"/>
    <w:semiHidden w:val="1"/>
    <w:unhideWhenUsed w:val="1"/>
    <w:rsid w:val="00172DAB"/>
    <w:pPr>
      <w:spacing w:line="240" w:lineRule="auto"/>
    </w:pPr>
    <w:rPr>
      <w:sz w:val="20"/>
      <w:szCs w:val="20"/>
    </w:rPr>
  </w:style>
  <w:style w:type="character" w:styleId="aa" w:customStyle="1">
    <w:name w:val="Текст примечания Знак"/>
    <w:basedOn w:val="a0"/>
    <w:link w:val="a9"/>
    <w:uiPriority w:val="99"/>
    <w:semiHidden w:val="1"/>
    <w:rsid w:val="00172DAB"/>
    <w:rPr>
      <w:sz w:val="20"/>
      <w:szCs w:val="20"/>
    </w:rPr>
  </w:style>
  <w:style w:type="paragraph" w:styleId="ab">
    <w:name w:val="annotation subject"/>
    <w:basedOn w:val="a9"/>
    <w:next w:val="a9"/>
    <w:link w:val="ac"/>
    <w:uiPriority w:val="99"/>
    <w:semiHidden w:val="1"/>
    <w:unhideWhenUsed w:val="1"/>
    <w:rsid w:val="00172DAB"/>
    <w:rPr>
      <w:b w:val="1"/>
      <w:bCs w:val="1"/>
    </w:rPr>
  </w:style>
  <w:style w:type="character" w:styleId="ac" w:customStyle="1">
    <w:name w:val="Тема примечания Знак"/>
    <w:basedOn w:val="aa"/>
    <w:link w:val="ab"/>
    <w:uiPriority w:val="99"/>
    <w:semiHidden w:val="1"/>
    <w:rsid w:val="00172DAB"/>
    <w:rPr>
      <w:b w:val="1"/>
      <w:bCs w:val="1"/>
      <w:sz w:val="20"/>
      <w:szCs w:val="20"/>
    </w:rPr>
  </w:style>
  <w:style w:type="paragraph" w:styleId="ad">
    <w:name w:val="Balloon Text"/>
    <w:basedOn w:val="a"/>
    <w:link w:val="ae"/>
    <w:uiPriority w:val="99"/>
    <w:semiHidden w:val="1"/>
    <w:unhideWhenUsed w:val="1"/>
    <w:rsid w:val="00172DAB"/>
    <w:pPr>
      <w:spacing w:after="0" w:line="240" w:lineRule="auto"/>
    </w:pPr>
    <w:rPr>
      <w:rFonts w:ascii="Segoe UI" w:cs="Segoe UI" w:hAnsi="Segoe UI"/>
      <w:sz w:val="18"/>
      <w:szCs w:val="18"/>
    </w:rPr>
  </w:style>
  <w:style w:type="character" w:styleId="ae" w:customStyle="1">
    <w:name w:val="Текст выноски Знак"/>
    <w:basedOn w:val="a0"/>
    <w:link w:val="ad"/>
    <w:uiPriority w:val="99"/>
    <w:semiHidden w:val="1"/>
    <w:rsid w:val="00172DAB"/>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radnuk.com.ua/zrazky-dokumentiv-katehoriya/osoblyvosti-1178-lokalizatsiia-vyrobnytst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9crlLkBKoF128a5YKejh5CCGEQ==">CgMxLjAyCGguZ2pkZ3hzOABqKAoUc3VnZ2VzdC42cmxib3Fvamo4MmMSENCa0YDQuNGB0YLQuNC90LBqHwoUc3VnZ2VzdC5yam92dGczc2VzaXgSB1ZsYWRhIFNqKAoUc3VnZ2VzdC5qaG53Ymx1eW83N2gSENCa0YDQuNGB0YLQuNC90LBqHwoUc3VnZ2VzdC40b3hjM2gzaHRtdmMSB1ZsYWRhIFNyITFIcDNpdFR5RWFVSnROVWp4TzVKRElvMnlvRExZWktCbw==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2022-08-17T14:44:00Z</dcterms:created>
  <dc:creator>userua12</dc:creator>
</cp:coreProperties>
</file>